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198F" w:rsidRDefault="009E198F">
      <w:pPr>
        <w:rPr>
          <w:b/>
          <w:bCs/>
          <w:color w:val="0000FF"/>
        </w:rPr>
      </w:pPr>
      <w:r>
        <w:rPr>
          <w:rFonts w:hint="eastAsia"/>
          <w:b/>
          <w:bCs/>
          <w:color w:val="0000FF"/>
        </w:rPr>
        <w:t>-강의 제목/ 초록</w:t>
      </w:r>
    </w:p>
    <w:p w:rsidR="009E198F" w:rsidRPr="00D33B3D" w:rsidRDefault="00D33B3D" w:rsidP="00D33B3D">
      <w:pPr>
        <w:jc w:val="center"/>
        <w:rPr>
          <w:b/>
          <w:bCs/>
          <w:color w:val="000000" w:themeColor="text1"/>
        </w:rPr>
      </w:pPr>
      <w:r w:rsidRPr="00D33B3D">
        <w:rPr>
          <w:b/>
          <w:bCs/>
          <w:color w:val="000000" w:themeColor="text1"/>
        </w:rPr>
        <w:t xml:space="preserve">Understanding B cell Biology for Rational Vaccine </w:t>
      </w:r>
      <w:proofErr w:type="gramStart"/>
      <w:r w:rsidRPr="00D33B3D">
        <w:rPr>
          <w:b/>
          <w:bCs/>
          <w:color w:val="000000" w:themeColor="text1"/>
        </w:rPr>
        <w:t>Design</w:t>
      </w:r>
      <w:proofErr w:type="gramEnd"/>
      <w:r w:rsidRPr="00D33B3D">
        <w:rPr>
          <w:b/>
          <w:bCs/>
          <w:color w:val="000000" w:themeColor="text1"/>
        </w:rPr>
        <w:br/>
        <w:t>(from Empiricism to Rationalism)</w:t>
      </w:r>
    </w:p>
    <w:p w:rsidR="00D33B3D" w:rsidRDefault="00D33B3D">
      <w:pPr>
        <w:rPr>
          <w:b/>
          <w:bCs/>
          <w:color w:val="0000FF"/>
        </w:rPr>
      </w:pPr>
    </w:p>
    <w:p w:rsidR="00D33B3D" w:rsidRDefault="00D33B3D">
      <w:pPr>
        <w:rPr>
          <w:rFonts w:ascii="Times New Roman" w:hAnsi="Times New Roman"/>
          <w:sz w:val="24"/>
        </w:rPr>
      </w:pPr>
      <w:r>
        <w:rPr>
          <w:rFonts w:ascii="Times New Roman" w:hAnsi="Times New Roman"/>
          <w:sz w:val="24"/>
        </w:rPr>
        <w:t xml:space="preserve">Some pathogens such as HIV use molecular mimicry to avoid immune attack, and our immune system maintains moderately autoreactive clones that fight against these pathogens to fill the gap in the immune repertoire. Invading pathogens are displayed to B cell mostly as </w:t>
      </w:r>
      <w:proofErr w:type="gramStart"/>
      <w:r>
        <w:rPr>
          <w:rFonts w:ascii="Times New Roman" w:hAnsi="Times New Roman"/>
          <w:sz w:val="24"/>
        </w:rPr>
        <w:t>membrane-associated</w:t>
      </w:r>
      <w:proofErr w:type="gramEnd"/>
      <w:r>
        <w:rPr>
          <w:rFonts w:ascii="Times New Roman" w:hAnsi="Times New Roman"/>
          <w:sz w:val="24"/>
        </w:rPr>
        <w:t xml:space="preserve"> antigen, however we don’t understand how these mildly autoreactive B cells respond differentially to pathogens while maintaining tolerance to self. A variety of studies have established that B cell responses to antigens presented on membranes versus antigens in solution are quantitatively and qualitatively different. Here we show that the affinity threshold for B cell responses to membrane-associated antigens was higher than that required for soluble antigens and that the signaling outcomes were qualitatively different. B cells fluxed calcium when placed on glass surfaces that promoted cell spreading and increased membrane tension, a response that was significantly enhanced by B cell receptor (BCR) cross-linking suggesting that membrane stretching and BCR crosslinking may independently induce calcium fluxes. We show that B cells express the mechanosensitive membrane calcium channel PIEZO1 and that inhibition of the regulator of PIEZO1 inhibits calcium fluxes and downstream activation of B cells responding to membrane-associated anti-Ig but not to soluble anti-Ig. </w:t>
      </w:r>
      <w:proofErr w:type="spellStart"/>
      <w:r>
        <w:rPr>
          <w:rFonts w:ascii="Times New Roman" w:hAnsi="Times New Roman"/>
          <w:sz w:val="24"/>
        </w:rPr>
        <w:t>Anergic</w:t>
      </w:r>
      <w:proofErr w:type="spellEnd"/>
      <w:r>
        <w:rPr>
          <w:rFonts w:ascii="Times New Roman" w:hAnsi="Times New Roman"/>
          <w:sz w:val="24"/>
        </w:rPr>
        <w:t xml:space="preserve"> </w:t>
      </w:r>
      <w:proofErr w:type="spellStart"/>
      <w:r>
        <w:rPr>
          <w:rFonts w:ascii="Times New Roman" w:hAnsi="Times New Roman"/>
          <w:sz w:val="24"/>
        </w:rPr>
        <w:t>IgM</w:t>
      </w:r>
      <w:r>
        <w:rPr>
          <w:rFonts w:ascii="Times New Roman" w:hAnsi="Times New Roman"/>
          <w:sz w:val="24"/>
          <w:vertAlign w:val="superscript"/>
        </w:rPr>
        <w:t>l</w:t>
      </w:r>
      <w:r w:rsidRPr="00F8273F">
        <w:rPr>
          <w:rFonts w:ascii="Times New Roman" w:hAnsi="Times New Roman"/>
          <w:sz w:val="24"/>
          <w:vertAlign w:val="superscript"/>
        </w:rPr>
        <w:t>o</w:t>
      </w:r>
      <w:proofErr w:type="spellEnd"/>
      <w:r>
        <w:rPr>
          <w:rFonts w:ascii="Times New Roman" w:hAnsi="Times New Roman"/>
          <w:sz w:val="24"/>
        </w:rPr>
        <w:t xml:space="preserve"> </w:t>
      </w:r>
      <w:proofErr w:type="spellStart"/>
      <w:r>
        <w:rPr>
          <w:rFonts w:ascii="Times New Roman" w:hAnsi="Times New Roman"/>
          <w:sz w:val="24"/>
        </w:rPr>
        <w:t>IgD</w:t>
      </w:r>
      <w:proofErr w:type="spellEnd"/>
      <w:r w:rsidRPr="00F8273F">
        <w:rPr>
          <w:rFonts w:ascii="Times New Roman" w:hAnsi="Times New Roman"/>
          <w:sz w:val="24"/>
          <w:vertAlign w:val="superscript"/>
        </w:rPr>
        <w:t>+</w:t>
      </w:r>
      <w:r>
        <w:rPr>
          <w:rFonts w:ascii="Times New Roman" w:hAnsi="Times New Roman"/>
          <w:sz w:val="24"/>
        </w:rPr>
        <w:t xml:space="preserve"> peripheral blood human B cells responded to BCR crosslinking by anti-Ig on membranes but not in solution and HEL-specific </w:t>
      </w:r>
      <w:proofErr w:type="spellStart"/>
      <w:r>
        <w:rPr>
          <w:rFonts w:ascii="Times New Roman" w:hAnsi="Times New Roman"/>
          <w:sz w:val="24"/>
        </w:rPr>
        <w:t>anergic</w:t>
      </w:r>
      <w:proofErr w:type="spellEnd"/>
      <w:r>
        <w:rPr>
          <w:rFonts w:ascii="Times New Roman" w:hAnsi="Times New Roman"/>
          <w:sz w:val="24"/>
        </w:rPr>
        <w:t xml:space="preserve"> mouse B cells were induced to undergo germinal center responses </w:t>
      </w:r>
      <w:r>
        <w:rPr>
          <w:rFonts w:ascii="Times New Roman" w:hAnsi="Times New Roman"/>
          <w:i/>
          <w:iCs/>
          <w:sz w:val="24"/>
        </w:rPr>
        <w:t>in vivo</w:t>
      </w:r>
      <w:r>
        <w:rPr>
          <w:rFonts w:ascii="Times New Roman" w:hAnsi="Times New Roman"/>
          <w:sz w:val="24"/>
        </w:rPr>
        <w:t xml:space="preserve"> in mice immunized with membrane-associated but not soluble HEL. Taken together these studies provide evidence for a role for mechanosensitive membrane channels in B cell responses to membrane antigens that may contribute to the control of B cell </w:t>
      </w:r>
      <w:proofErr w:type="spellStart"/>
      <w:r>
        <w:rPr>
          <w:rFonts w:ascii="Times New Roman" w:hAnsi="Times New Roman"/>
          <w:sz w:val="24"/>
        </w:rPr>
        <w:t>anergy</w:t>
      </w:r>
      <w:proofErr w:type="spellEnd"/>
      <w:r>
        <w:rPr>
          <w:rFonts w:ascii="Times New Roman" w:hAnsi="Times New Roman"/>
          <w:sz w:val="24"/>
        </w:rPr>
        <w:t>.</w:t>
      </w:r>
    </w:p>
    <w:p w:rsidR="00D33B3D" w:rsidRDefault="009E198F">
      <w:pPr>
        <w:rPr>
          <w:b/>
          <w:bCs/>
          <w:color w:val="0000FF"/>
        </w:rPr>
      </w:pPr>
      <w:r>
        <w:rPr>
          <w:rFonts w:hint="eastAsia"/>
          <w:b/>
          <w:bCs/>
          <w:color w:val="0000FF"/>
        </w:rPr>
        <w:br/>
        <w:t>- 강의 슬라이드</w:t>
      </w:r>
      <w:r w:rsidR="00B71C3F">
        <w:rPr>
          <w:rFonts w:hint="eastAsia"/>
          <w:b/>
          <w:bCs/>
          <w:color w:val="0000FF"/>
        </w:rPr>
        <w:t xml:space="preserve"> 일부</w:t>
      </w:r>
      <w:bookmarkStart w:id="0" w:name="_GoBack"/>
      <w:bookmarkEnd w:id="0"/>
    </w:p>
    <w:p w:rsidR="00D33B3D" w:rsidRDefault="00D33B3D">
      <w:pPr>
        <w:rPr>
          <w:b/>
          <w:bCs/>
          <w:color w:val="0000FF"/>
        </w:rPr>
      </w:pPr>
      <w:r w:rsidRPr="00D33B3D">
        <w:rPr>
          <w:b/>
          <w:bCs/>
          <w:noProof/>
          <w:color w:val="0000FF"/>
        </w:rPr>
        <w:drawing>
          <wp:inline distT="0" distB="0" distL="0" distR="0" wp14:anchorId="091E7375" wp14:editId="703FF63D">
            <wp:extent cx="4030132" cy="2266894"/>
            <wp:effectExtent l="0" t="0" r="8890" b="635"/>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029835" cy="2266727"/>
                    </a:xfrm>
                    <a:prstGeom prst="rect">
                      <a:avLst/>
                    </a:prstGeom>
                  </pic:spPr>
                </pic:pic>
              </a:graphicData>
            </a:graphic>
          </wp:inline>
        </w:drawing>
      </w:r>
    </w:p>
    <w:p w:rsidR="00D33B3D" w:rsidRDefault="00D33B3D">
      <w:pPr>
        <w:rPr>
          <w:b/>
          <w:bCs/>
          <w:color w:val="0000FF"/>
        </w:rPr>
      </w:pPr>
    </w:p>
    <w:p w:rsidR="00D33B3D" w:rsidRDefault="00D33B3D">
      <w:pPr>
        <w:rPr>
          <w:b/>
          <w:bCs/>
          <w:color w:val="0000FF"/>
        </w:rPr>
      </w:pPr>
      <w:r w:rsidRPr="00D33B3D">
        <w:rPr>
          <w:b/>
          <w:bCs/>
          <w:noProof/>
          <w:color w:val="0000FF"/>
        </w:rPr>
        <w:lastRenderedPageBreak/>
        <w:drawing>
          <wp:inline distT="0" distB="0" distL="0" distR="0" wp14:anchorId="60D67ED7" wp14:editId="1FCCE18A">
            <wp:extent cx="3690760" cy="2076002"/>
            <wp:effectExtent l="0" t="0" r="5080" b="635"/>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690488" cy="2075849"/>
                    </a:xfrm>
                    <a:prstGeom prst="rect">
                      <a:avLst/>
                    </a:prstGeom>
                  </pic:spPr>
                </pic:pic>
              </a:graphicData>
            </a:graphic>
          </wp:inline>
        </w:drawing>
      </w:r>
    </w:p>
    <w:p w:rsidR="00D33B3D" w:rsidRDefault="00D33B3D">
      <w:pPr>
        <w:rPr>
          <w:b/>
          <w:bCs/>
          <w:color w:val="0000FF"/>
        </w:rPr>
      </w:pPr>
    </w:p>
    <w:p w:rsidR="00597A4B" w:rsidRPr="00597A4B" w:rsidRDefault="00D33B3D">
      <w:pPr>
        <w:rPr>
          <w:b/>
          <w:bCs/>
          <w:color w:val="0000FF"/>
        </w:rPr>
      </w:pPr>
      <w:r w:rsidRPr="00D33B3D">
        <w:rPr>
          <w:b/>
          <w:bCs/>
          <w:noProof/>
          <w:color w:val="0000FF"/>
        </w:rPr>
        <w:drawing>
          <wp:inline distT="0" distB="0" distL="0" distR="0" wp14:anchorId="11F52009" wp14:editId="03DAB5E4">
            <wp:extent cx="3735912" cy="2101400"/>
            <wp:effectExtent l="0" t="0" r="0" b="0"/>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735636" cy="2101245"/>
                    </a:xfrm>
                    <a:prstGeom prst="rect">
                      <a:avLst/>
                    </a:prstGeom>
                  </pic:spPr>
                </pic:pic>
              </a:graphicData>
            </a:graphic>
          </wp:inline>
        </w:drawing>
      </w:r>
      <w:r w:rsidR="009E198F">
        <w:rPr>
          <w:rFonts w:hint="eastAsia"/>
          <w:b/>
          <w:bCs/>
          <w:color w:val="0000FF"/>
        </w:rPr>
        <w:br/>
      </w:r>
    </w:p>
    <w:sectPr w:rsidR="00597A4B" w:rsidRPr="00597A4B">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98F"/>
    <w:rsid w:val="00597A4B"/>
    <w:rsid w:val="005A58BE"/>
    <w:rsid w:val="006B0DEC"/>
    <w:rsid w:val="009E198F"/>
    <w:rsid w:val="00B71C3F"/>
    <w:rsid w:val="00D33B3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71C3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B71C3F"/>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71C3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B71C3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293</Words>
  <Characters>1673</Characters>
  <Application>Microsoft Office Word</Application>
  <DocSecurity>0</DocSecurity>
  <Lines>13</Lines>
  <Paragraphs>3</Paragraphs>
  <ScaleCrop>false</ScaleCrop>
  <HeadingPairs>
    <vt:vector size="2" baseType="variant">
      <vt:variant>
        <vt:lpstr>제목</vt:lpstr>
      </vt:variant>
      <vt:variant>
        <vt:i4>1</vt:i4>
      </vt:variant>
    </vt:vector>
  </HeadingPairs>
  <TitlesOfParts>
    <vt:vector size="1" baseType="lpstr">
      <vt:lpstr/>
    </vt:vector>
  </TitlesOfParts>
  <Company>LG</Company>
  <LinksUpToDate>false</LinksUpToDate>
  <CharactersWithSpaces>1963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곽기혁(미생물학교실)</dc:creator>
  <cp:lastModifiedBy>김지영</cp:lastModifiedBy>
  <cp:revision>2</cp:revision>
  <dcterms:created xsi:type="dcterms:W3CDTF">2021-09-08T06:49:00Z</dcterms:created>
  <dcterms:modified xsi:type="dcterms:W3CDTF">2021-09-08T06:49:00Z</dcterms:modified>
</cp:coreProperties>
</file>