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FBD" w:rsidRDefault="003D6FBD" w:rsidP="003D6FBD">
      <w:pPr>
        <w:pStyle w:val="a3"/>
        <w:shd w:val="clear" w:color="auto" w:fill="FFFFFF"/>
        <w:spacing w:before="75" w:beforeAutospacing="0" w:after="240" w:afterAutospacing="0"/>
        <w:jc w:val="both"/>
        <w:rPr>
          <w:rFonts w:ascii="Arial" w:hAnsi="Arial" w:cs="Arial" w:hint="eastAsia"/>
          <w:color w:val="1C1D1E"/>
          <w:sz w:val="21"/>
          <w:szCs w:val="21"/>
        </w:rPr>
      </w:pPr>
      <w:r>
        <w:fldChar w:fldCharType="begin"/>
      </w:r>
      <w:r>
        <w:instrText xml:space="preserve"> HYPERLINK "https://onlinelibrary.wiley.com/doi/abs/10.1002/adhm.202100070" \t "_blank" </w:instrText>
      </w:r>
      <w:r>
        <w:fldChar w:fldCharType="separate"/>
      </w:r>
      <w:r>
        <w:rPr>
          <w:rStyle w:val="a4"/>
          <w:rFonts w:ascii="Arial" w:hAnsi="Arial" w:cs="Arial"/>
          <w:color w:val="000000"/>
          <w:sz w:val="20"/>
          <w:szCs w:val="20"/>
        </w:rPr>
        <w:t>A Biphasic Osteovascular Biomimetic Scaffold for Rapid and Self</w:t>
      </w:r>
      <w:r>
        <w:rPr>
          <w:rStyle w:val="a4"/>
          <w:rFonts w:ascii="Cambria Math" w:hAnsi="Cambria Math" w:cs="Cambria Math"/>
          <w:color w:val="000000"/>
          <w:sz w:val="20"/>
          <w:szCs w:val="20"/>
        </w:rPr>
        <w:t>‐</w:t>
      </w:r>
      <w:r>
        <w:rPr>
          <w:rStyle w:val="a4"/>
          <w:rFonts w:ascii="Arial" w:hAnsi="Arial" w:cs="Arial"/>
          <w:color w:val="000000"/>
          <w:sz w:val="20"/>
          <w:szCs w:val="20"/>
        </w:rPr>
        <w:t>Sustained Endochondral Ossification</w:t>
      </w:r>
      <w:r>
        <w:fldChar w:fldCharType="end"/>
      </w:r>
    </w:p>
    <w:p w:rsidR="003D6FBD" w:rsidRDefault="003D6FBD" w:rsidP="003D6FBD">
      <w:pPr>
        <w:pStyle w:val="a3"/>
        <w:shd w:val="clear" w:color="auto" w:fill="FFFFFF"/>
        <w:spacing w:before="75" w:beforeAutospacing="0" w:after="240" w:afterAutospacing="0"/>
        <w:jc w:val="both"/>
        <w:rPr>
          <w:rFonts w:ascii="Arial" w:hAnsi="Arial" w:cs="Arial"/>
          <w:color w:val="1C1D1E"/>
          <w:sz w:val="21"/>
          <w:szCs w:val="21"/>
        </w:rPr>
      </w:pPr>
    </w:p>
    <w:p w:rsidR="003D6FBD" w:rsidRDefault="003D6FBD" w:rsidP="003D6FBD">
      <w:pPr>
        <w:pStyle w:val="a3"/>
        <w:shd w:val="clear" w:color="auto" w:fill="FFFFFF"/>
        <w:spacing w:before="75" w:beforeAutospacing="0" w:after="240" w:afterAutospacing="0"/>
        <w:jc w:val="both"/>
        <w:rPr>
          <w:rFonts w:ascii="Arial" w:hAnsi="Arial" w:cs="Arial" w:hint="eastAsia"/>
          <w:color w:val="1C1D1E"/>
          <w:sz w:val="21"/>
          <w:szCs w:val="21"/>
        </w:rPr>
      </w:pPr>
      <w:r>
        <w:rPr>
          <w:rFonts w:ascii="Arial" w:hAnsi="Arial" w:cs="Arial" w:hint="eastAsia"/>
          <w:color w:val="1C1D1E"/>
          <w:sz w:val="21"/>
          <w:szCs w:val="21"/>
        </w:rPr>
        <w:t>H</w:t>
      </w:r>
      <w:r>
        <w:rPr>
          <w:rFonts w:ascii="Arial" w:hAnsi="Arial" w:cs="Arial"/>
          <w:color w:val="1C1D1E"/>
          <w:sz w:val="21"/>
          <w:szCs w:val="21"/>
        </w:rPr>
        <w:t>wan D. Kim, Department of Polymer Science and Engineering, Korea National University of Transporation</w:t>
      </w:r>
      <w:bookmarkStart w:id="0" w:name="_GoBack"/>
      <w:bookmarkEnd w:id="0"/>
    </w:p>
    <w:p w:rsidR="003D6FBD" w:rsidRDefault="003D6FBD" w:rsidP="003D6FBD">
      <w:pPr>
        <w:pStyle w:val="a3"/>
        <w:shd w:val="clear" w:color="auto" w:fill="FFFFFF"/>
        <w:spacing w:before="75" w:beforeAutospacing="0" w:after="240" w:afterAutospacing="0"/>
        <w:jc w:val="both"/>
        <w:rPr>
          <w:rFonts w:ascii="Arial" w:hAnsi="Arial" w:cs="Arial"/>
          <w:color w:val="1C1D1E"/>
          <w:sz w:val="21"/>
          <w:szCs w:val="21"/>
        </w:rPr>
      </w:pPr>
      <w:r>
        <w:rPr>
          <w:rFonts w:ascii="Arial" w:hAnsi="Arial" w:cs="Arial"/>
          <w:color w:val="1C1D1E"/>
          <w:sz w:val="21"/>
          <w:szCs w:val="21"/>
        </w:rPr>
        <w:t xml:space="preserve">Regeneration of large bones remains a challenge in surgery. Recent developmental engineering efforts aim to recapitulate endochondral ossification (EO), a critical step in bone formation. However, this process entails the condensation of mesenchymal stem cells (MSCs) into cartilaginous templates, which requires long-term cultures and is challenging to scale up. Here, a biomimetic scaffold is developed that allows rapid and self-sustained EO without initial hypertrophic chondrogenesis. The design comprises a porous chondroitin sulfate cryogel decorated with whitlockite calcium phosphate nanoparticles, and a soft hydrogel occupying the porous space. This composite scaffold enables human endothelial colony-forming cells (ECFCs) and MSCs to rapidly assemble into </w:t>
      </w:r>
      <w:proofErr w:type="spellStart"/>
      <w:r>
        <w:rPr>
          <w:rFonts w:ascii="Arial" w:hAnsi="Arial" w:cs="Arial"/>
          <w:color w:val="1C1D1E"/>
          <w:sz w:val="21"/>
          <w:szCs w:val="21"/>
        </w:rPr>
        <w:t>osteovascular</w:t>
      </w:r>
      <w:proofErr w:type="spellEnd"/>
      <w:r>
        <w:rPr>
          <w:rFonts w:ascii="Arial" w:hAnsi="Arial" w:cs="Arial"/>
          <w:color w:val="1C1D1E"/>
          <w:sz w:val="21"/>
          <w:szCs w:val="21"/>
        </w:rPr>
        <w:t xml:space="preserve"> niches in immunodeficient mice. These niches contain ECFC-lined blood vessels and perivascular MSCs that differentiate into RUNX2</w:t>
      </w:r>
      <w:r>
        <w:rPr>
          <w:rFonts w:ascii="Arial" w:hAnsi="Arial" w:cs="Arial"/>
          <w:color w:val="1C1D1E"/>
          <w:sz w:val="18"/>
          <w:szCs w:val="18"/>
          <w:vertAlign w:val="superscript"/>
        </w:rPr>
        <w:t>+</w:t>
      </w:r>
      <w:r>
        <w:rPr>
          <w:rFonts w:ascii="Arial" w:hAnsi="Arial" w:cs="Arial"/>
          <w:color w:val="1C1D1E"/>
          <w:sz w:val="21"/>
          <w:szCs w:val="21"/>
        </w:rPr>
        <w:t>OSX</w:t>
      </w:r>
      <w:r>
        <w:rPr>
          <w:rFonts w:ascii="Arial" w:hAnsi="Arial" w:cs="Arial"/>
          <w:color w:val="1C1D1E"/>
          <w:sz w:val="18"/>
          <w:szCs w:val="18"/>
          <w:vertAlign w:val="superscript"/>
        </w:rPr>
        <w:t>+</w:t>
      </w:r>
      <w:r>
        <w:rPr>
          <w:rFonts w:ascii="Arial" w:hAnsi="Arial" w:cs="Arial"/>
          <w:color w:val="1C1D1E"/>
          <w:sz w:val="21"/>
          <w:szCs w:val="21"/>
        </w:rPr>
        <w:t> pre-osteoblasts after one week in vivo. Subsequently, multiple ossification centers are formed, leading to de novo bone tissue formation by eight weeks, including mature human OCN</w:t>
      </w:r>
      <w:r>
        <w:rPr>
          <w:rFonts w:ascii="Arial" w:hAnsi="Arial" w:cs="Arial"/>
          <w:color w:val="1C1D1E"/>
          <w:sz w:val="18"/>
          <w:szCs w:val="18"/>
          <w:vertAlign w:val="superscript"/>
        </w:rPr>
        <w:t>+</w:t>
      </w:r>
      <w:r>
        <w:rPr>
          <w:rFonts w:ascii="Arial" w:hAnsi="Arial" w:cs="Arial"/>
          <w:color w:val="1C1D1E"/>
          <w:sz w:val="21"/>
          <w:szCs w:val="21"/>
        </w:rPr>
        <w:t>OPN</w:t>
      </w:r>
      <w:r>
        <w:rPr>
          <w:rFonts w:ascii="Arial" w:hAnsi="Arial" w:cs="Arial"/>
          <w:color w:val="1C1D1E"/>
          <w:sz w:val="18"/>
          <w:szCs w:val="18"/>
          <w:vertAlign w:val="superscript"/>
        </w:rPr>
        <w:t>+</w:t>
      </w:r>
      <w:r>
        <w:rPr>
          <w:rFonts w:ascii="Arial" w:hAnsi="Arial" w:cs="Arial"/>
          <w:color w:val="1C1D1E"/>
          <w:sz w:val="21"/>
          <w:szCs w:val="21"/>
        </w:rPr>
        <w:t xml:space="preserve"> osteoblasts, collagen-rich mineralized extracellular matrix, hydroxyapatite, osteoclast activity, and gradual mechanical competence. The early establishment of blood vessels is essential, and grafts that do not contain ECFCs fail to produce </w:t>
      </w:r>
      <w:proofErr w:type="spellStart"/>
      <w:r>
        <w:rPr>
          <w:rFonts w:ascii="Arial" w:hAnsi="Arial" w:cs="Arial"/>
          <w:color w:val="1C1D1E"/>
          <w:sz w:val="21"/>
          <w:szCs w:val="21"/>
        </w:rPr>
        <w:t>osteovascular</w:t>
      </w:r>
      <w:proofErr w:type="spellEnd"/>
      <w:r>
        <w:rPr>
          <w:rFonts w:ascii="Arial" w:hAnsi="Arial" w:cs="Arial"/>
          <w:color w:val="1C1D1E"/>
          <w:sz w:val="21"/>
          <w:szCs w:val="21"/>
        </w:rPr>
        <w:t xml:space="preserve"> niches and ossification centers. The findings suggest a novel bioengineering approach to recapitulate EO in the context of human bone regeneration.</w:t>
      </w:r>
    </w:p>
    <w:p w:rsidR="003D6FBD" w:rsidRPr="003D6FBD" w:rsidRDefault="003D6FBD">
      <w:pPr>
        <w:rPr>
          <w:rFonts w:hint="eastAsia"/>
        </w:rPr>
      </w:pPr>
    </w:p>
    <w:sectPr w:rsidR="003D6FBD" w:rsidRPr="003D6F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FBD"/>
    <w:rsid w:val="003D6FBD"/>
    <w:rsid w:val="0069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145C0"/>
  <w15:chartTrackingRefBased/>
  <w15:docId w15:val="{71567AF8-A8BB-43AD-AFC6-C31781ECD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6FB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D6F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5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6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KNUT</dc:creator>
  <cp:keywords/>
  <dc:description/>
  <cp:lastModifiedBy>KNUT</cp:lastModifiedBy>
  <cp:revision>1</cp:revision>
  <dcterms:created xsi:type="dcterms:W3CDTF">2021-09-09T09:35:00Z</dcterms:created>
  <dcterms:modified xsi:type="dcterms:W3CDTF">2021-09-09T09:38:00Z</dcterms:modified>
</cp:coreProperties>
</file>