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653EEC" w14:textId="77777777" w:rsidR="00321EAC" w:rsidRPr="00321EAC" w:rsidRDefault="00321EAC" w:rsidP="00321EAC">
      <w:pPr>
        <w:pStyle w:val="Title2"/>
        <w:spacing w:line="360" w:lineRule="auto"/>
        <w:rPr>
          <w:sz w:val="32"/>
        </w:rPr>
      </w:pPr>
      <w:bookmarkStart w:id="0" w:name="_Hlk161256591"/>
      <w:bookmarkEnd w:id="0"/>
      <w:r w:rsidRPr="00321EAC">
        <w:rPr>
          <w:sz w:val="32"/>
        </w:rPr>
        <w:t xml:space="preserve">New Mn electrochemistry for rechargeable aqueous batteries: promising directions based on preliminary results </w:t>
      </w:r>
    </w:p>
    <w:p w14:paraId="1198C145" w14:textId="2C3B41C5" w:rsidR="00321EAC" w:rsidRPr="00321EAC" w:rsidRDefault="00321EAC">
      <w:pPr>
        <w:rPr>
          <w:b/>
          <w:sz w:val="28"/>
          <w:szCs w:val="28"/>
        </w:rPr>
      </w:pPr>
    </w:p>
    <w:p w14:paraId="7856E3E7" w14:textId="77777777" w:rsidR="00321EAC" w:rsidRPr="00321EAC" w:rsidRDefault="00321EAC">
      <w:pPr>
        <w:rPr>
          <w:rFonts w:hint="eastAsia"/>
          <w:b/>
          <w:sz w:val="28"/>
          <w:szCs w:val="28"/>
        </w:rPr>
      </w:pPr>
    </w:p>
    <w:tbl>
      <w:tblPr>
        <w:tblW w:w="9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029"/>
      </w:tblGrid>
      <w:tr w:rsidR="00900607" w:rsidRPr="00EE73BD" w14:paraId="0AB40B2F" w14:textId="77777777" w:rsidTr="00AC41FC">
        <w:trPr>
          <w:trHeight w:hRule="exact" w:val="488"/>
        </w:trPr>
        <w:tc>
          <w:tcPr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 w14:paraId="15F59DD1" w14:textId="77777777" w:rsidR="00900607" w:rsidRPr="00EE73BD" w:rsidRDefault="00900607" w:rsidP="00AC41FC">
            <w:pPr>
              <w:widowControl/>
              <w:wordWrap/>
              <w:snapToGrid w:val="0"/>
              <w:spacing w:line="360" w:lineRule="auto"/>
              <w:jc w:val="center"/>
              <w:rPr>
                <w:b/>
                <w:color w:val="000000"/>
                <w:kern w:val="0"/>
              </w:rPr>
            </w:pPr>
            <w:r w:rsidRPr="002D613E">
              <w:rPr>
                <w:b/>
                <w:color w:val="000000"/>
                <w:kern w:val="0"/>
              </w:rPr>
              <w:t>ABSTRACT</w:t>
            </w:r>
          </w:p>
        </w:tc>
      </w:tr>
      <w:tr w:rsidR="00900607" w:rsidRPr="00A132E5" w14:paraId="6622D9A9" w14:textId="77777777" w:rsidTr="00AC41FC">
        <w:trPr>
          <w:trHeight w:val="9852"/>
        </w:trPr>
        <w:tc>
          <w:tcPr>
            <w:tcW w:w="9029" w:type="dxa"/>
            <w:tcBorders>
              <w:top w:val="nil"/>
              <w:left w:val="nil"/>
              <w:bottom w:val="nil"/>
              <w:right w:val="nil"/>
            </w:tcBorders>
          </w:tcPr>
          <w:p w14:paraId="4AD3FABE" w14:textId="77777777" w:rsidR="00950F89" w:rsidRPr="00950F89" w:rsidRDefault="00950F89" w:rsidP="00950F89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  <w:r w:rsidRPr="00950F89">
              <w:rPr>
                <w:sz w:val="24"/>
                <w:szCs w:val="24"/>
              </w:rPr>
              <w:t>Manganese (Mn)-based batteries are emerging as promising candidates for next-generation energy storage systems owing to their abundance, low cost, and favorable redox potential. However, the development of Mn-compatible electrolytes, cath</w:t>
            </w:r>
            <w:bookmarkStart w:id="1" w:name="_GoBack"/>
            <w:bookmarkEnd w:id="1"/>
            <w:r w:rsidRPr="00950F89">
              <w:rPr>
                <w:sz w:val="24"/>
                <w:szCs w:val="24"/>
              </w:rPr>
              <w:t>odes, and stable m</w:t>
            </w:r>
            <w:r w:rsidRPr="00950F89">
              <w:rPr>
                <w:rFonts w:hint="eastAsia"/>
                <w:sz w:val="24"/>
                <w:szCs w:val="24"/>
              </w:rPr>
              <w:t xml:space="preserve">etal anodes remains underexplored. Herein, we report a comprehensive strategy to advance Mn batteries across both aqueous and nonaqueous systems. In aqueous electrolytes, the use of concentrated </w:t>
            </w:r>
            <w:proofErr w:type="gramStart"/>
            <w:r w:rsidRPr="00950F89">
              <w:rPr>
                <w:rFonts w:hint="eastAsia"/>
                <w:sz w:val="24"/>
                <w:szCs w:val="24"/>
              </w:rPr>
              <w:t>Mn(</w:t>
            </w:r>
            <w:proofErr w:type="gramEnd"/>
            <w:r w:rsidRPr="00950F89">
              <w:rPr>
                <w:rFonts w:hint="eastAsia"/>
                <w:sz w:val="24"/>
                <w:szCs w:val="24"/>
              </w:rPr>
              <w:t>ClO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4</w:t>
            </w:r>
            <w:r w:rsidRPr="00950F89">
              <w:rPr>
                <w:rFonts w:hint="eastAsia"/>
                <w:sz w:val="24"/>
                <w:szCs w:val="24"/>
              </w:rPr>
              <w:t>)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950F89">
              <w:rPr>
                <w:rFonts w:hint="eastAsia"/>
                <w:sz w:val="24"/>
                <w:szCs w:val="24"/>
              </w:rPr>
              <w:t xml:space="preserve"> solutions enabled improved Mn metal deposition/diss</w:t>
            </w:r>
            <w:r w:rsidRPr="00950F89">
              <w:rPr>
                <w:sz w:val="24"/>
                <w:szCs w:val="24"/>
              </w:rPr>
              <w:t xml:space="preserve">olution efficiency, particularly when combined with </w:t>
            </w:r>
            <w:proofErr w:type="spellStart"/>
            <w:r w:rsidRPr="00950F89">
              <w:rPr>
                <w:sz w:val="24"/>
                <w:szCs w:val="24"/>
              </w:rPr>
              <w:t>Ti</w:t>
            </w:r>
            <w:proofErr w:type="spellEnd"/>
            <w:r w:rsidRPr="00950F89">
              <w:rPr>
                <w:sz w:val="24"/>
                <w:szCs w:val="24"/>
              </w:rPr>
              <w:t xml:space="preserve"> substrates that suppress dendrite formation. </w:t>
            </w:r>
          </w:p>
          <w:p w14:paraId="405C156C" w14:textId="77777777" w:rsidR="00950F89" w:rsidRPr="00950F89" w:rsidRDefault="00950F89" w:rsidP="00950F89">
            <w:pPr>
              <w:spacing w:line="360" w:lineRule="auto"/>
              <w:ind w:firstLineChars="100" w:firstLine="240"/>
              <w:rPr>
                <w:sz w:val="24"/>
                <w:szCs w:val="24"/>
              </w:rPr>
            </w:pPr>
            <w:r w:rsidRPr="00950F89">
              <w:rPr>
                <w:rFonts w:hint="eastAsia"/>
                <w:sz w:val="24"/>
                <w:szCs w:val="24"/>
              </w:rPr>
              <w:t>F</w:t>
            </w:r>
            <w:r w:rsidRPr="00950F89">
              <w:rPr>
                <w:sz w:val="24"/>
                <w:szCs w:val="24"/>
              </w:rPr>
              <w:t>urthermore, diverse cathode chemistries were explored, including inorganic Ag</w:t>
            </w:r>
            <w:r w:rsidRPr="00950F89">
              <w:rPr>
                <w:sz w:val="24"/>
                <w:szCs w:val="24"/>
                <w:vertAlign w:val="subscript"/>
              </w:rPr>
              <w:t>0.33</w:t>
            </w:r>
            <w:r w:rsidRPr="00950F89">
              <w:rPr>
                <w:sz w:val="24"/>
                <w:szCs w:val="24"/>
              </w:rPr>
              <w:t>V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950F89">
              <w:rPr>
                <w:sz w:val="24"/>
                <w:szCs w:val="24"/>
              </w:rPr>
              <w:t>O</w:t>
            </w:r>
            <w:r w:rsidRPr="00950F89">
              <w:rPr>
                <w:sz w:val="24"/>
                <w:szCs w:val="24"/>
                <w:vertAlign w:val="subscript"/>
              </w:rPr>
              <w:t>5</w:t>
            </w:r>
            <w:r w:rsidRPr="00950F89">
              <w:rPr>
                <w:sz w:val="24"/>
                <w:szCs w:val="24"/>
              </w:rPr>
              <w:t>, organic perylene-3,4,9,10-tetracarboxylic dianhydride (PTCDA), and coronene, demonstrating high capacities and elevated output voltages compared to conventional Zn-ion systems. Ag</w:t>
            </w:r>
            <w:r w:rsidRPr="00950F89">
              <w:rPr>
                <w:sz w:val="24"/>
                <w:szCs w:val="24"/>
                <w:vertAlign w:val="subscript"/>
              </w:rPr>
              <w:t>0.33</w:t>
            </w:r>
            <w:r w:rsidRPr="00950F89">
              <w:rPr>
                <w:sz w:val="24"/>
                <w:szCs w:val="24"/>
              </w:rPr>
              <w:t>V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950F89">
              <w:rPr>
                <w:sz w:val="24"/>
                <w:szCs w:val="24"/>
              </w:rPr>
              <w:t>O</w:t>
            </w:r>
            <w:r w:rsidRPr="00950F89">
              <w:rPr>
                <w:sz w:val="24"/>
                <w:szCs w:val="24"/>
                <w:vertAlign w:val="subscript"/>
              </w:rPr>
              <w:t xml:space="preserve">5 </w:t>
            </w:r>
            <w:r w:rsidRPr="00950F89">
              <w:rPr>
                <w:sz w:val="24"/>
                <w:szCs w:val="24"/>
              </w:rPr>
              <w:t xml:space="preserve">exhibited a high reversible capacity of ~262 </w:t>
            </w:r>
            <w:proofErr w:type="spellStart"/>
            <w:r w:rsidRPr="00950F89">
              <w:rPr>
                <w:sz w:val="24"/>
                <w:szCs w:val="24"/>
              </w:rPr>
              <w:t>mAh</w:t>
            </w:r>
            <w:proofErr w:type="spellEnd"/>
            <w:r w:rsidRPr="00950F89">
              <w:rPr>
                <w:sz w:val="24"/>
                <w:szCs w:val="24"/>
              </w:rPr>
              <w:t>/g with prolonged cyclability, while PTCDA achieved efficient Mn²⁺ storage through π-electron and car</w:t>
            </w:r>
            <w:r w:rsidRPr="00950F89">
              <w:rPr>
                <w:rFonts w:hint="eastAsia"/>
                <w:sz w:val="24"/>
                <w:szCs w:val="24"/>
              </w:rPr>
              <w:t xml:space="preserve">bonyl coordination mechanisms. </w:t>
            </w:r>
          </w:p>
          <w:p w14:paraId="0741E242" w14:textId="007849E1" w:rsidR="00FF054C" w:rsidRPr="00950F89" w:rsidRDefault="00950F89" w:rsidP="00950F89">
            <w:pPr>
              <w:spacing w:line="360" w:lineRule="auto"/>
              <w:ind w:firstLineChars="100" w:firstLine="240"/>
              <w:rPr>
                <w:rStyle w:val="color11"/>
                <w:sz w:val="24"/>
                <w:szCs w:val="24"/>
              </w:rPr>
            </w:pPr>
            <w:r w:rsidRPr="00950F89">
              <w:rPr>
                <w:rFonts w:hint="eastAsia"/>
                <w:sz w:val="24"/>
                <w:szCs w:val="24"/>
              </w:rPr>
              <w:t xml:space="preserve">To overcome hydrogen evolution limitations in aqueous media, a nonaqueous Mn-ion battery was constructed using Mn metal anodes, </w:t>
            </w:r>
            <w:proofErr w:type="gramStart"/>
            <w:r w:rsidRPr="00950F89">
              <w:rPr>
                <w:rFonts w:hint="eastAsia"/>
                <w:sz w:val="24"/>
                <w:szCs w:val="24"/>
              </w:rPr>
              <w:t>Mn(</w:t>
            </w:r>
            <w:proofErr w:type="gramEnd"/>
            <w:r w:rsidRPr="00950F89">
              <w:rPr>
                <w:rFonts w:hint="eastAsia"/>
                <w:sz w:val="24"/>
                <w:szCs w:val="24"/>
              </w:rPr>
              <w:t>ClO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4</w:t>
            </w:r>
            <w:r w:rsidRPr="00950F89">
              <w:rPr>
                <w:rFonts w:hint="eastAsia"/>
                <w:sz w:val="24"/>
                <w:szCs w:val="24"/>
              </w:rPr>
              <w:t>)</w:t>
            </w:r>
            <w:r w:rsidRPr="00950F89">
              <w:rPr>
                <w:rFonts w:hint="eastAsia"/>
                <w:sz w:val="24"/>
                <w:szCs w:val="24"/>
                <w:vertAlign w:val="subscript"/>
              </w:rPr>
              <w:t>2</w:t>
            </w:r>
            <w:r w:rsidRPr="00950F89">
              <w:rPr>
                <w:rFonts w:hint="eastAsia"/>
                <w:sz w:val="24"/>
                <w:szCs w:val="24"/>
              </w:rPr>
              <w:t>-acetonitrile electrolytes, and Prussian blue-type Mn-hexacyanoferrate cathodes, achievi</w:t>
            </w:r>
            <w:r w:rsidRPr="00950F89">
              <w:rPr>
                <w:sz w:val="24"/>
                <w:szCs w:val="24"/>
              </w:rPr>
              <w:t>ng a discharge voltage of ~1.7 V and stable cycling over 1500 cycles. This integrated study establishes fundamental insights into Mn electrochemistry, unveils new cathode candidates, and presents pathways to engineer high-energy, durable Mn metal batteries.</w:t>
            </w:r>
          </w:p>
          <w:p w14:paraId="4875B162" w14:textId="1CBA390B" w:rsidR="00237D60" w:rsidRPr="004C0757" w:rsidRDefault="00237D60" w:rsidP="004C0757">
            <w:pPr>
              <w:wordWrap/>
              <w:autoSpaceDE w:val="0"/>
              <w:autoSpaceDN w:val="0"/>
              <w:snapToGrid w:val="0"/>
              <w:spacing w:line="540" w:lineRule="auto"/>
              <w:textAlignment w:val="baseline"/>
              <w:rPr>
                <w:bdr w:val="none" w:sz="0" w:space="0" w:color="auto" w:frame="1"/>
              </w:rPr>
            </w:pPr>
          </w:p>
        </w:tc>
      </w:tr>
    </w:tbl>
    <w:p w14:paraId="62051929" w14:textId="77777777" w:rsidR="00BD0C5A" w:rsidRDefault="00BD0C5A"/>
    <w:sectPr w:rsidR="00BD0C5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7FE9FC" w14:textId="77777777" w:rsidR="005347AF" w:rsidRDefault="005347AF" w:rsidP="00EB2D7E">
      <w:r>
        <w:separator/>
      </w:r>
    </w:p>
  </w:endnote>
  <w:endnote w:type="continuationSeparator" w:id="0">
    <w:p w14:paraId="7A5312D7" w14:textId="77777777" w:rsidR="005347AF" w:rsidRDefault="005347AF" w:rsidP="00EB2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6B5EDF" w14:textId="77777777" w:rsidR="005347AF" w:rsidRDefault="005347AF" w:rsidP="00EB2D7E">
      <w:r>
        <w:separator/>
      </w:r>
    </w:p>
  </w:footnote>
  <w:footnote w:type="continuationSeparator" w:id="0">
    <w:p w14:paraId="431D0F7A" w14:textId="77777777" w:rsidR="005347AF" w:rsidRDefault="005347AF" w:rsidP="00EB2D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607"/>
    <w:rsid w:val="000059D0"/>
    <w:rsid w:val="001541B6"/>
    <w:rsid w:val="00237D60"/>
    <w:rsid w:val="00321EAC"/>
    <w:rsid w:val="0032628C"/>
    <w:rsid w:val="003D412C"/>
    <w:rsid w:val="004375C9"/>
    <w:rsid w:val="004821CB"/>
    <w:rsid w:val="0048280E"/>
    <w:rsid w:val="004C0757"/>
    <w:rsid w:val="004F10B0"/>
    <w:rsid w:val="005347AF"/>
    <w:rsid w:val="00550B12"/>
    <w:rsid w:val="005F2502"/>
    <w:rsid w:val="00665742"/>
    <w:rsid w:val="007C56B6"/>
    <w:rsid w:val="00851653"/>
    <w:rsid w:val="00872286"/>
    <w:rsid w:val="00900607"/>
    <w:rsid w:val="00950F89"/>
    <w:rsid w:val="00952D67"/>
    <w:rsid w:val="009C61F8"/>
    <w:rsid w:val="00AA6FBF"/>
    <w:rsid w:val="00B07760"/>
    <w:rsid w:val="00B27F40"/>
    <w:rsid w:val="00BD0C5A"/>
    <w:rsid w:val="00C94CFF"/>
    <w:rsid w:val="00D14B3B"/>
    <w:rsid w:val="00E220DC"/>
    <w:rsid w:val="00E72154"/>
    <w:rsid w:val="00EB2D7E"/>
    <w:rsid w:val="00EF79A4"/>
    <w:rsid w:val="00FF0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582C87"/>
  <w15:chartTrackingRefBased/>
  <w15:docId w15:val="{D03D8A70-51E0-46E8-814B-C3AE904891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00607"/>
    <w:pPr>
      <w:widowControl w:val="0"/>
      <w:wordWrap w:val="0"/>
      <w:spacing w:after="0" w:line="240" w:lineRule="auto"/>
    </w:pPr>
    <w:rPr>
      <w:rFonts w:ascii="Times New Roman" w:eastAsia="바탕체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7">
    <w:name w:val="font_7"/>
    <w:basedOn w:val="a"/>
    <w:rsid w:val="00B07760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color11">
    <w:name w:val="color_11"/>
    <w:basedOn w:val="a0"/>
    <w:rsid w:val="00B07760"/>
  </w:style>
  <w:style w:type="character" w:customStyle="1" w:styleId="wixguard">
    <w:name w:val="wixguard"/>
    <w:basedOn w:val="a0"/>
    <w:rsid w:val="00B07760"/>
  </w:style>
  <w:style w:type="paragraph" w:styleId="a3">
    <w:name w:val="header"/>
    <w:basedOn w:val="a"/>
    <w:link w:val="Char"/>
    <w:uiPriority w:val="99"/>
    <w:unhideWhenUsed/>
    <w:rsid w:val="00EB2D7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B2D7E"/>
    <w:rPr>
      <w:rFonts w:ascii="Times New Roman" w:eastAsia="바탕체" w:hAnsi="Times New Roman" w:cs="Times New Roman"/>
      <w:szCs w:val="20"/>
    </w:rPr>
  </w:style>
  <w:style w:type="paragraph" w:styleId="a4">
    <w:name w:val="footer"/>
    <w:basedOn w:val="a"/>
    <w:link w:val="Char0"/>
    <w:uiPriority w:val="99"/>
    <w:unhideWhenUsed/>
    <w:rsid w:val="00EB2D7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B2D7E"/>
    <w:rPr>
      <w:rFonts w:ascii="Times New Roman" w:eastAsia="바탕체" w:hAnsi="Times New Roman" w:cs="Times New Roman"/>
      <w:szCs w:val="20"/>
    </w:rPr>
  </w:style>
  <w:style w:type="paragraph" w:customStyle="1" w:styleId="Title2">
    <w:name w:val="Title2"/>
    <w:basedOn w:val="a"/>
    <w:rsid w:val="00321EAC"/>
    <w:pPr>
      <w:widowControl/>
      <w:wordWrap/>
      <w:jc w:val="left"/>
    </w:pPr>
    <w:rPr>
      <w:rFonts w:eastAsia="MS Mincho"/>
      <w:b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830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250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Registered User</dc:creator>
  <cp:keywords/>
  <dc:description/>
  <cp:lastModifiedBy>User</cp:lastModifiedBy>
  <cp:revision>32</cp:revision>
  <dcterms:created xsi:type="dcterms:W3CDTF">2019-08-20T09:26:00Z</dcterms:created>
  <dcterms:modified xsi:type="dcterms:W3CDTF">2025-04-27T07:17:00Z</dcterms:modified>
</cp:coreProperties>
</file>